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068C" w14:textId="77777777" w:rsidR="0087053C" w:rsidRDefault="0087053C" w:rsidP="0087053C">
      <w:pPr>
        <w:rPr>
          <w:b/>
          <w:bCs/>
          <w:lang w:val="en-GB"/>
        </w:rPr>
      </w:pPr>
    </w:p>
    <w:p w14:paraId="6A7697FC" w14:textId="63C110B4" w:rsidR="0087053C" w:rsidRPr="0087053C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Special Expat Tax Regime (“Beckham Law”)</w:t>
      </w:r>
      <w:r>
        <w:rPr>
          <w:rFonts w:ascii="Bookman Old Style" w:hAnsi="Bookman Old Style"/>
          <w:b/>
          <w:bCs/>
          <w:sz w:val="22"/>
          <w:szCs w:val="22"/>
          <w:lang w:val="en-GB"/>
        </w:rPr>
        <w:t xml:space="preserve">1. 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This tax regime allows qualifying individuals to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be taxed as non-residents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in Spain for up to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six tax years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(the year of relocation plus five additional years). Under this scheme:</w:t>
      </w:r>
    </w:p>
    <w:p w14:paraId="62B17BD5" w14:textId="77777777" w:rsidR="0087053C" w:rsidRPr="0087053C" w:rsidRDefault="0087053C" w:rsidP="0087053C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A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24% flat tax rate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applies to employment income up to €600,000 earned in Spain.</w:t>
      </w:r>
    </w:p>
    <w:p w14:paraId="4DE879B0" w14:textId="77777777" w:rsidR="0087053C" w:rsidRPr="0087053C" w:rsidRDefault="0087053C" w:rsidP="0087053C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Income exceeding €600,000 is taxed at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47%</w:t>
      </w:r>
      <w:r w:rsidRPr="0087053C">
        <w:rPr>
          <w:rFonts w:ascii="Bookman Old Style" w:hAnsi="Bookman Old Style"/>
          <w:sz w:val="22"/>
          <w:szCs w:val="22"/>
          <w:lang w:val="en-GB"/>
        </w:rPr>
        <w:t>.</w:t>
      </w:r>
    </w:p>
    <w:p w14:paraId="6A913093" w14:textId="77777777" w:rsidR="0087053C" w:rsidRPr="0087053C" w:rsidRDefault="0087053C" w:rsidP="0087053C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No Spanish tax is levied on foreign-sourced income</w:t>
      </w:r>
      <w:r w:rsidRPr="0087053C">
        <w:rPr>
          <w:rFonts w:ascii="Bookman Old Style" w:hAnsi="Bookman Old Style"/>
          <w:sz w:val="22"/>
          <w:szCs w:val="22"/>
          <w:lang w:val="en-GB"/>
        </w:rPr>
        <w:t>, except for employment or professional income derived from work physically performed in Spain.</w:t>
      </w:r>
    </w:p>
    <w:p w14:paraId="5F0156DC" w14:textId="09B3A22B" w:rsidR="0087053C" w:rsidRPr="00106917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516E1F7F" w14:textId="2F4A48D4" w:rsidR="0087053C" w:rsidRPr="0087053C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 xml:space="preserve">  Essential Requirements</w:t>
      </w:r>
    </w:p>
    <w:p w14:paraId="08BB225B" w14:textId="77777777" w:rsidR="0087053C" w:rsidRPr="0087053C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>As per current regulations (effective from January 1, 2023 – Order HFP/1338/2023 and HAP/2783/2015):</w:t>
      </w:r>
    </w:p>
    <w:p w14:paraId="0E21C106" w14:textId="77777777" w:rsidR="0087053C" w:rsidRPr="0087053C" w:rsidRDefault="0087053C" w:rsidP="0087053C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Non-residency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in Spain during the five tax years prior to the year of relocation.</w:t>
      </w:r>
    </w:p>
    <w:p w14:paraId="3FF6ACFD" w14:textId="77777777" w:rsidR="0087053C" w:rsidRPr="0087053C" w:rsidRDefault="0087053C" w:rsidP="0087053C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>The move to Spain must be due to one of the following:</w:t>
      </w:r>
    </w:p>
    <w:p w14:paraId="75574D62" w14:textId="77777777" w:rsidR="0087053C" w:rsidRPr="0087053C" w:rsidRDefault="0087053C" w:rsidP="0087053C">
      <w:pPr>
        <w:numPr>
          <w:ilvl w:val="1"/>
          <w:numId w:val="2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An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employment contract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with a Spanish employer (excluding professional athletes).</w:t>
      </w:r>
    </w:p>
    <w:p w14:paraId="3140A2E3" w14:textId="77777777" w:rsidR="0087053C" w:rsidRPr="0087053C" w:rsidRDefault="0087053C" w:rsidP="0087053C">
      <w:pPr>
        <w:numPr>
          <w:ilvl w:val="1"/>
          <w:numId w:val="2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Appointment as a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director or administrator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of a Spanish company (with limitations if the company is considered a passive holding entity).</w:t>
      </w:r>
    </w:p>
    <w:p w14:paraId="17B5A2BA" w14:textId="77777777" w:rsidR="0087053C" w:rsidRPr="0087053C" w:rsidRDefault="0087053C" w:rsidP="0087053C">
      <w:pPr>
        <w:numPr>
          <w:ilvl w:val="1"/>
          <w:numId w:val="2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Entrepreneurial activity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or being a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highly qualified professional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working with startups or in training, R&amp;D, or innovation sectors.</w:t>
      </w:r>
    </w:p>
    <w:p w14:paraId="2E307F41" w14:textId="77777777" w:rsidR="0087053C" w:rsidRPr="0087053C" w:rsidRDefault="0087053C" w:rsidP="0087053C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The taxpayer must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not earn income through a permanent establishment in Spain</w:t>
      </w:r>
      <w:r w:rsidRPr="0087053C">
        <w:rPr>
          <w:rFonts w:ascii="Bookman Old Style" w:hAnsi="Bookman Old Style"/>
          <w:sz w:val="22"/>
          <w:szCs w:val="22"/>
          <w:lang w:val="en-GB"/>
        </w:rPr>
        <w:t>, except in specific cases (e.g., startups or qualified professionals).</w:t>
      </w:r>
    </w:p>
    <w:p w14:paraId="158EB79C" w14:textId="77777777" w:rsidR="0087053C" w:rsidRPr="0087053C" w:rsidRDefault="0087053C" w:rsidP="0087053C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Must become a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tax resident in Spain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(i.e., residing more than 183 days per year), even though taxed as a non-resident.</w:t>
      </w:r>
    </w:p>
    <w:p w14:paraId="1F268ABB" w14:textId="77777777" w:rsidR="0087053C" w:rsidRPr="0087053C" w:rsidRDefault="0087053C" w:rsidP="0087053C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>Spouse and children under 25 (or one parent if no marriage link exists) may also qualify under similar conditions.</w:t>
      </w:r>
    </w:p>
    <w:p w14:paraId="24A4DE1C" w14:textId="5514D449" w:rsidR="0087053C" w:rsidRPr="00106917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851F3C0" w14:textId="77777777" w:rsidR="0087053C" w:rsidRPr="00106917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3F6C8011" w14:textId="77777777" w:rsidR="0087053C" w:rsidRPr="00106917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1F9F5772" w14:textId="77777777" w:rsidR="0087053C" w:rsidRPr="00106917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63E99829" w14:textId="1DC872CB" w:rsidR="0087053C" w:rsidRPr="0087053C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3. Procedure and Deadlines</w:t>
      </w:r>
    </w:p>
    <w:p w14:paraId="137F3B62" w14:textId="77777777" w:rsidR="0087053C" w:rsidRPr="0087053C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Official Steps (Spanish Tax Agency):</w:t>
      </w:r>
    </w:p>
    <w:p w14:paraId="1315D3F4" w14:textId="77777777" w:rsidR="0087053C" w:rsidRPr="0087053C" w:rsidRDefault="0087053C" w:rsidP="0087053C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Obtain a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NIE/NIF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if not already registered via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Form 030</w:t>
      </w:r>
      <w:r w:rsidRPr="0087053C">
        <w:rPr>
          <w:rFonts w:ascii="Bookman Old Style" w:hAnsi="Bookman Old Style"/>
          <w:sz w:val="22"/>
          <w:szCs w:val="22"/>
          <w:lang w:val="en-GB"/>
        </w:rPr>
        <w:t>.</w:t>
      </w:r>
    </w:p>
    <w:p w14:paraId="4770F7B4" w14:textId="77777777" w:rsidR="0087053C" w:rsidRPr="0087053C" w:rsidRDefault="0087053C" w:rsidP="0087053C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Submit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Form 149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(Application for Special Regime), along with:</w:t>
      </w:r>
    </w:p>
    <w:p w14:paraId="53DB99D8" w14:textId="77777777" w:rsidR="0087053C" w:rsidRPr="0087053C" w:rsidRDefault="0087053C" w:rsidP="0087053C">
      <w:pPr>
        <w:numPr>
          <w:ilvl w:val="1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87053C">
        <w:rPr>
          <w:rFonts w:ascii="Bookman Old Style" w:hAnsi="Bookman Old Style"/>
          <w:sz w:val="22"/>
          <w:szCs w:val="22"/>
        </w:rPr>
        <w:t>Passport / NIE</w:t>
      </w:r>
    </w:p>
    <w:p w14:paraId="2AA9CB10" w14:textId="77777777" w:rsidR="0087053C" w:rsidRPr="0087053C" w:rsidRDefault="0087053C" w:rsidP="0087053C">
      <w:pPr>
        <w:numPr>
          <w:ilvl w:val="1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87053C">
        <w:rPr>
          <w:rFonts w:ascii="Bookman Old Style" w:hAnsi="Bookman Old Style"/>
          <w:sz w:val="22"/>
          <w:szCs w:val="22"/>
        </w:rPr>
        <w:t xml:space="preserve">Social Security </w:t>
      </w:r>
      <w:proofErr w:type="spellStart"/>
      <w:r w:rsidRPr="0087053C">
        <w:rPr>
          <w:rFonts w:ascii="Bookman Old Style" w:hAnsi="Bookman Old Style"/>
          <w:sz w:val="22"/>
          <w:szCs w:val="22"/>
        </w:rPr>
        <w:t>number</w:t>
      </w:r>
      <w:proofErr w:type="spellEnd"/>
    </w:p>
    <w:p w14:paraId="4EDFE540" w14:textId="77777777" w:rsidR="0087053C" w:rsidRPr="0087053C" w:rsidRDefault="0087053C" w:rsidP="0087053C">
      <w:pPr>
        <w:numPr>
          <w:ilvl w:val="1"/>
          <w:numId w:val="3"/>
        </w:num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87053C">
        <w:rPr>
          <w:rFonts w:ascii="Bookman Old Style" w:hAnsi="Bookman Old Style"/>
          <w:sz w:val="22"/>
          <w:szCs w:val="22"/>
        </w:rPr>
        <w:t>Employment</w:t>
      </w:r>
      <w:proofErr w:type="spellEnd"/>
      <w:r w:rsidRPr="008705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87053C">
        <w:rPr>
          <w:rFonts w:ascii="Bookman Old Style" w:hAnsi="Bookman Old Style"/>
          <w:sz w:val="22"/>
          <w:szCs w:val="22"/>
        </w:rPr>
        <w:t>contract</w:t>
      </w:r>
      <w:proofErr w:type="spellEnd"/>
      <w:r w:rsidRPr="008705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87053C">
        <w:rPr>
          <w:rFonts w:ascii="Bookman Old Style" w:hAnsi="Bookman Old Style"/>
          <w:sz w:val="22"/>
          <w:szCs w:val="22"/>
        </w:rPr>
        <w:t>or</w:t>
      </w:r>
      <w:proofErr w:type="spellEnd"/>
      <w:r w:rsidRPr="008705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87053C">
        <w:rPr>
          <w:rFonts w:ascii="Bookman Old Style" w:hAnsi="Bookman Old Style"/>
          <w:sz w:val="22"/>
          <w:szCs w:val="22"/>
        </w:rPr>
        <w:t>board</w:t>
      </w:r>
      <w:proofErr w:type="spellEnd"/>
      <w:r w:rsidRPr="008705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87053C">
        <w:rPr>
          <w:rFonts w:ascii="Bookman Old Style" w:hAnsi="Bookman Old Style"/>
          <w:sz w:val="22"/>
          <w:szCs w:val="22"/>
        </w:rPr>
        <w:t>appointment</w:t>
      </w:r>
      <w:proofErr w:type="spellEnd"/>
    </w:p>
    <w:p w14:paraId="7E6AAA2E" w14:textId="77777777" w:rsidR="0087053C" w:rsidRPr="0087053C" w:rsidRDefault="0087053C" w:rsidP="0087053C">
      <w:pPr>
        <w:numPr>
          <w:ilvl w:val="1"/>
          <w:numId w:val="3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>Supporting documentation for the move to Spain</w:t>
      </w:r>
    </w:p>
    <w:p w14:paraId="5D0F900F" w14:textId="77777777" w:rsidR="0087053C" w:rsidRPr="0087053C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87053C">
        <w:rPr>
          <w:rFonts w:ascii="Bookman Old Style" w:hAnsi="Bookman Old Style"/>
          <w:b/>
          <w:bCs/>
          <w:sz w:val="22"/>
          <w:szCs w:val="22"/>
        </w:rPr>
        <w:t xml:space="preserve">Key </w:t>
      </w:r>
      <w:proofErr w:type="spellStart"/>
      <w:r w:rsidRPr="0087053C">
        <w:rPr>
          <w:rFonts w:ascii="Bookman Old Style" w:hAnsi="Bookman Old Style"/>
          <w:b/>
          <w:bCs/>
          <w:sz w:val="22"/>
          <w:szCs w:val="22"/>
        </w:rPr>
        <w:t>Deadlines</w:t>
      </w:r>
      <w:proofErr w:type="spellEnd"/>
      <w:r w:rsidRPr="0087053C">
        <w:rPr>
          <w:rFonts w:ascii="Bookman Old Style" w:hAnsi="Bookman Old Style"/>
          <w:b/>
          <w:bCs/>
          <w:sz w:val="22"/>
          <w:szCs w:val="22"/>
        </w:rPr>
        <w:t>:</w:t>
      </w:r>
    </w:p>
    <w:p w14:paraId="39167846" w14:textId="77777777" w:rsidR="0087053C" w:rsidRPr="0087053C" w:rsidRDefault="0087053C" w:rsidP="0087053C">
      <w:pPr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Submit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Form 149 within 6 months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of registering with Social Security or the employment/activity start date.</w:t>
      </w:r>
    </w:p>
    <w:p w14:paraId="2E10F3B1" w14:textId="77777777" w:rsidR="0087053C" w:rsidRPr="0087053C" w:rsidRDefault="0087053C" w:rsidP="0087053C">
      <w:pPr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AEAT usually responds within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10 business days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(can extend up to 1–2 months in practice) and issues a certificate if the application is approved.</w:t>
      </w:r>
    </w:p>
    <w:p w14:paraId="5B61941B" w14:textId="7FF655A3" w:rsidR="0087053C" w:rsidRPr="00106917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97BC299" w14:textId="77777777" w:rsidR="0087053C" w:rsidRPr="0087053C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87053C">
        <w:rPr>
          <w:rFonts w:ascii="Segoe UI Emoji" w:hAnsi="Segoe UI Emoji" w:cs="Segoe UI Emoji"/>
          <w:b/>
          <w:bCs/>
          <w:sz w:val="22"/>
          <w:szCs w:val="22"/>
        </w:rPr>
        <w:t>📄</w:t>
      </w:r>
      <w:r w:rsidRPr="0087053C">
        <w:rPr>
          <w:rFonts w:ascii="Bookman Old Style" w:hAnsi="Bookman Old Style"/>
          <w:b/>
          <w:bCs/>
          <w:sz w:val="22"/>
          <w:szCs w:val="22"/>
        </w:rPr>
        <w:t xml:space="preserve"> 4. </w:t>
      </w:r>
      <w:proofErr w:type="spellStart"/>
      <w:r w:rsidRPr="0087053C">
        <w:rPr>
          <w:rFonts w:ascii="Bookman Old Style" w:hAnsi="Bookman Old Style"/>
          <w:b/>
          <w:bCs/>
          <w:sz w:val="22"/>
          <w:szCs w:val="22"/>
        </w:rPr>
        <w:t>Obligations</w:t>
      </w:r>
      <w:proofErr w:type="spellEnd"/>
      <w:r w:rsidRPr="0087053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87053C">
        <w:rPr>
          <w:rFonts w:ascii="Bookman Old Style" w:hAnsi="Bookman Old Style"/>
          <w:b/>
          <w:bCs/>
          <w:sz w:val="22"/>
          <w:szCs w:val="22"/>
        </w:rPr>
        <w:t>During</w:t>
      </w:r>
      <w:proofErr w:type="spellEnd"/>
      <w:r w:rsidRPr="0087053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87053C">
        <w:rPr>
          <w:rFonts w:ascii="Bookman Old Style" w:hAnsi="Bookman Old Style"/>
          <w:b/>
          <w:bCs/>
          <w:sz w:val="22"/>
          <w:szCs w:val="22"/>
        </w:rPr>
        <w:t>the</w:t>
      </w:r>
      <w:proofErr w:type="spellEnd"/>
      <w:r w:rsidRPr="0087053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87053C">
        <w:rPr>
          <w:rFonts w:ascii="Bookman Old Style" w:hAnsi="Bookman Old Style"/>
          <w:b/>
          <w:bCs/>
          <w:sz w:val="22"/>
          <w:szCs w:val="22"/>
        </w:rPr>
        <w:t>Regime</w:t>
      </w:r>
      <w:proofErr w:type="spellEnd"/>
    </w:p>
    <w:p w14:paraId="2BE54BEA" w14:textId="77777777" w:rsidR="0087053C" w:rsidRPr="0087053C" w:rsidRDefault="0087053C" w:rsidP="0087053C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File the annual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Personal Income Tax (IRPF) return under the special regime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using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Form 151</w:t>
      </w:r>
      <w:r w:rsidRPr="0087053C">
        <w:rPr>
          <w:rFonts w:ascii="Bookman Old Style" w:hAnsi="Bookman Old Style"/>
          <w:sz w:val="22"/>
          <w:szCs w:val="22"/>
          <w:lang w:val="en-GB"/>
        </w:rPr>
        <w:t>, within the standard filing period (April–June of the following year).</w:t>
      </w:r>
    </w:p>
    <w:p w14:paraId="169E0BCE" w14:textId="77777777" w:rsidR="0087053C" w:rsidRPr="0087053C" w:rsidRDefault="0087053C" w:rsidP="0087053C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Maintain the original conditions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for regime eligibility. Breach or voluntary renunciation terminates the benefit.</w:t>
      </w:r>
    </w:p>
    <w:p w14:paraId="48378F5D" w14:textId="77777777" w:rsidR="0087053C" w:rsidRPr="0087053C" w:rsidRDefault="0087053C" w:rsidP="0087053C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To opt out, submit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Form 149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typically during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November/December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of the prior year. Once renounced, re-entry into the regime is not allowed.</w:t>
      </w:r>
    </w:p>
    <w:p w14:paraId="6D00B156" w14:textId="77777777" w:rsidR="0087053C" w:rsidRPr="00106917" w:rsidRDefault="0087053C" w:rsidP="0087053C">
      <w:pPr>
        <w:jc w:val="both"/>
        <w:rPr>
          <w:rFonts w:ascii="Segoe UI Emoji" w:hAnsi="Segoe UI Emoji" w:cs="Segoe UI Emoji"/>
          <w:b/>
          <w:bCs/>
          <w:sz w:val="22"/>
          <w:szCs w:val="22"/>
          <w:lang w:val="en-GB"/>
        </w:rPr>
      </w:pPr>
    </w:p>
    <w:p w14:paraId="5746F387" w14:textId="71360554" w:rsidR="0087053C" w:rsidRPr="0087053C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 xml:space="preserve">  AEAT Risk and Audit Control</w:t>
      </w:r>
    </w:p>
    <w:p w14:paraId="57F96CE4" w14:textId="77777777" w:rsidR="0087053C" w:rsidRPr="0087053C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The AEAT (Agencia </w:t>
      </w:r>
      <w:proofErr w:type="spellStart"/>
      <w:r w:rsidRPr="0087053C">
        <w:rPr>
          <w:rFonts w:ascii="Bookman Old Style" w:hAnsi="Bookman Old Style"/>
          <w:sz w:val="22"/>
          <w:szCs w:val="22"/>
          <w:lang w:val="en-GB"/>
        </w:rPr>
        <w:t>Tributaria</w:t>
      </w:r>
      <w:proofErr w:type="spellEnd"/>
      <w:r w:rsidRPr="0087053C">
        <w:rPr>
          <w:rFonts w:ascii="Bookman Old Style" w:hAnsi="Bookman Old Style"/>
          <w:sz w:val="22"/>
          <w:szCs w:val="22"/>
          <w:lang w:val="en-GB"/>
        </w:rPr>
        <w:t xml:space="preserve">) has increased oversight since 2024, particularly for high-net-worth individuals. Only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0.5%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of the nearly 37,000 beneficiaries have been audited in the last decade. In over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70% of cases</w:t>
      </w:r>
      <w:r w:rsidRPr="0087053C">
        <w:rPr>
          <w:rFonts w:ascii="Bookman Old Style" w:hAnsi="Bookman Old Style"/>
          <w:sz w:val="22"/>
          <w:szCs w:val="22"/>
          <w:lang w:val="en-GB"/>
        </w:rPr>
        <w:t>, audits are closed with settlement or agreement.</w:t>
      </w:r>
    </w:p>
    <w:p w14:paraId="402BEBA8" w14:textId="77777777" w:rsidR="0087053C" w:rsidRPr="00106917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</w:p>
    <w:p w14:paraId="40FC8C43" w14:textId="77777777" w:rsidR="0087053C" w:rsidRPr="00106917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</w:p>
    <w:p w14:paraId="44C8C30F" w14:textId="77777777" w:rsidR="0087053C" w:rsidRPr="00106917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</w:p>
    <w:p w14:paraId="611938A0" w14:textId="77777777" w:rsidR="0087053C" w:rsidRPr="00106917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</w:p>
    <w:p w14:paraId="16D3416B" w14:textId="64EFDDB4" w:rsidR="0087053C" w:rsidRPr="0087053C" w:rsidRDefault="0087053C" w:rsidP="0087053C">
      <w:pPr>
        <w:jc w:val="both"/>
        <w:rPr>
          <w:rFonts w:ascii="Bookman Old Style" w:hAnsi="Bookman Old Style"/>
          <w:b/>
          <w:bCs/>
          <w:sz w:val="22"/>
          <w:szCs w:val="22"/>
        </w:rPr>
      </w:pPr>
      <w:proofErr w:type="spellStart"/>
      <w:r w:rsidRPr="0087053C">
        <w:rPr>
          <w:rFonts w:ascii="Bookman Old Style" w:hAnsi="Bookman Old Style"/>
          <w:b/>
          <w:bCs/>
          <w:sz w:val="22"/>
          <w:szCs w:val="22"/>
        </w:rPr>
        <w:t>Common</w:t>
      </w:r>
      <w:proofErr w:type="spellEnd"/>
      <w:r w:rsidRPr="0087053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87053C">
        <w:rPr>
          <w:rFonts w:ascii="Bookman Old Style" w:hAnsi="Bookman Old Style"/>
          <w:b/>
          <w:bCs/>
          <w:sz w:val="22"/>
          <w:szCs w:val="22"/>
        </w:rPr>
        <w:t>irregularities</w:t>
      </w:r>
      <w:proofErr w:type="spellEnd"/>
      <w:r w:rsidRPr="0087053C">
        <w:rPr>
          <w:rFonts w:ascii="Bookman Old Style" w:hAnsi="Bookman Old Style"/>
          <w:b/>
          <w:bCs/>
          <w:sz w:val="22"/>
          <w:szCs w:val="22"/>
        </w:rPr>
        <w:t>:</w:t>
      </w:r>
    </w:p>
    <w:p w14:paraId="41817080" w14:textId="77777777" w:rsidR="0087053C" w:rsidRPr="0087053C" w:rsidRDefault="0087053C" w:rsidP="0087053C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Fake employment contracts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or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shell companies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with no actual activity.</w:t>
      </w:r>
    </w:p>
    <w:p w14:paraId="1DC5B50B" w14:textId="77777777" w:rsidR="0087053C" w:rsidRPr="0087053C" w:rsidRDefault="0087053C" w:rsidP="0087053C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Artificial structures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to avoid international capital gains taxation.</w:t>
      </w:r>
    </w:p>
    <w:p w14:paraId="44BF38F8" w14:textId="77777777" w:rsidR="0087053C" w:rsidRPr="0087053C" w:rsidRDefault="0087053C" w:rsidP="0087053C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Lack of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genuine connection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to Spain (e.g., no actual relocation or residency proof).</w:t>
      </w:r>
    </w:p>
    <w:p w14:paraId="76F950FD" w14:textId="15A70AC3" w:rsidR="0087053C" w:rsidRPr="0087053C" w:rsidRDefault="0087053C" w:rsidP="0087053C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Best practices to avoid problems</w:t>
      </w:r>
      <w:r w:rsidRPr="0087053C">
        <w:rPr>
          <w:rFonts w:ascii="Bookman Old Style" w:hAnsi="Bookman Old Style"/>
          <w:sz w:val="22"/>
          <w:szCs w:val="22"/>
          <w:lang w:val="en-GB"/>
        </w:rPr>
        <w:t>:</w:t>
      </w:r>
    </w:p>
    <w:p w14:paraId="55A50460" w14:textId="77777777" w:rsidR="0087053C" w:rsidRPr="0087053C" w:rsidRDefault="0087053C" w:rsidP="0087053C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Provide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robust documentation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of relocation (employment letter, residency proof).</w:t>
      </w:r>
    </w:p>
    <w:p w14:paraId="36A5CA7E" w14:textId="77777777" w:rsidR="0087053C" w:rsidRPr="0087053C" w:rsidRDefault="0087053C" w:rsidP="0087053C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Avoid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fictitious companies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or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simulated contracts</w:t>
      </w:r>
      <w:r w:rsidRPr="0087053C">
        <w:rPr>
          <w:rFonts w:ascii="Bookman Old Style" w:hAnsi="Bookman Old Style"/>
          <w:sz w:val="22"/>
          <w:szCs w:val="22"/>
          <w:lang w:val="en-GB"/>
        </w:rPr>
        <w:t>.</w:t>
      </w:r>
    </w:p>
    <w:p w14:paraId="115601AB" w14:textId="77777777" w:rsidR="0087053C" w:rsidRPr="0087053C" w:rsidRDefault="0087053C" w:rsidP="0087053C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Keep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daily residency proof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(rent agreements, travel logs).</w:t>
      </w:r>
    </w:p>
    <w:p w14:paraId="2B8AB1F2" w14:textId="77777777" w:rsidR="0087053C" w:rsidRPr="0087053C" w:rsidRDefault="0087053C" w:rsidP="0087053C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87053C">
        <w:rPr>
          <w:rFonts w:ascii="Bookman Old Style" w:hAnsi="Bookman Old Style"/>
          <w:sz w:val="22"/>
          <w:szCs w:val="22"/>
          <w:lang w:val="en-GB"/>
        </w:rPr>
        <w:t xml:space="preserve">Do not </w:t>
      </w:r>
      <w:r w:rsidRPr="0087053C">
        <w:rPr>
          <w:rFonts w:ascii="Bookman Old Style" w:hAnsi="Bookman Old Style"/>
          <w:b/>
          <w:bCs/>
          <w:sz w:val="22"/>
          <w:szCs w:val="22"/>
          <w:lang w:val="en-GB"/>
        </w:rPr>
        <w:t>combine international income</w:t>
      </w:r>
      <w:r w:rsidRPr="0087053C">
        <w:rPr>
          <w:rFonts w:ascii="Bookman Old Style" w:hAnsi="Bookman Old Style"/>
          <w:sz w:val="22"/>
          <w:szCs w:val="22"/>
          <w:lang w:val="en-GB"/>
        </w:rPr>
        <w:t xml:space="preserve"> with artificial fiscal residency constructions.</w:t>
      </w:r>
    </w:p>
    <w:sectPr w:rsidR="0087053C" w:rsidRPr="008705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F274" w14:textId="77777777" w:rsidR="0087053C" w:rsidRDefault="0087053C" w:rsidP="0087053C">
      <w:pPr>
        <w:spacing w:after="0" w:line="240" w:lineRule="auto"/>
      </w:pPr>
      <w:r>
        <w:separator/>
      </w:r>
    </w:p>
  </w:endnote>
  <w:endnote w:type="continuationSeparator" w:id="0">
    <w:p w14:paraId="6DCA98DB" w14:textId="77777777" w:rsidR="0087053C" w:rsidRDefault="0087053C" w:rsidP="0087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E7FC" w14:textId="4C828336" w:rsidR="0087053C" w:rsidRPr="0087053C" w:rsidRDefault="0087053C">
    <w:pPr>
      <w:pStyle w:val="Piedepgina"/>
      <w:rPr>
        <w:rFonts w:ascii="Bookman Old Style" w:hAnsi="Bookman Old Style"/>
        <w:b/>
        <w:bCs/>
        <w:color w:val="0D0D0D" w:themeColor="text1" w:themeTint="F2"/>
        <w:sz w:val="20"/>
        <w:szCs w:val="20"/>
        <w:lang w:val="en-GB"/>
      </w:rPr>
    </w:pPr>
    <w:r w:rsidRPr="0087053C">
      <w:rPr>
        <w:rFonts w:ascii="Bookman Old Style" w:hAnsi="Bookman Old Style"/>
        <w:b/>
        <w:bCs/>
        <w:color w:val="0D0D0D" w:themeColor="text1" w:themeTint="F2"/>
        <w:sz w:val="20"/>
        <w:szCs w:val="20"/>
        <w:lang w:val="en-GB"/>
      </w:rPr>
      <w:t xml:space="preserve">MMR </w:t>
    </w:r>
    <w:proofErr w:type="gramStart"/>
    <w:r w:rsidRPr="0087053C">
      <w:rPr>
        <w:rFonts w:ascii="Bookman Old Style" w:hAnsi="Bookman Old Style"/>
        <w:b/>
        <w:bCs/>
        <w:color w:val="0D0D0D" w:themeColor="text1" w:themeTint="F2"/>
        <w:sz w:val="20"/>
        <w:szCs w:val="20"/>
        <w:lang w:val="en-GB"/>
      </w:rPr>
      <w:t>CONSULTANT  /</w:t>
    </w:r>
    <w:proofErr w:type="gramEnd"/>
    <w:r w:rsidRPr="0087053C">
      <w:rPr>
        <w:rFonts w:ascii="Bookman Old Style" w:hAnsi="Bookman Old Style"/>
        <w:b/>
        <w:bCs/>
        <w:color w:val="0D0D0D" w:themeColor="text1" w:themeTint="F2"/>
        <w:sz w:val="20"/>
        <w:szCs w:val="20"/>
        <w:lang w:val="en-GB"/>
      </w:rPr>
      <w:t xml:space="preserve">/ Calle Pedraza </w:t>
    </w:r>
    <w:proofErr w:type="gramStart"/>
    <w:r w:rsidRPr="0087053C">
      <w:rPr>
        <w:rFonts w:ascii="Bookman Old Style" w:hAnsi="Bookman Old Style"/>
        <w:b/>
        <w:bCs/>
        <w:color w:val="0D0D0D" w:themeColor="text1" w:themeTint="F2"/>
        <w:sz w:val="20"/>
        <w:szCs w:val="20"/>
        <w:lang w:val="en-GB"/>
      </w:rPr>
      <w:t>12  1</w:t>
    </w:r>
    <w:proofErr w:type="gramEnd"/>
    <w:r w:rsidRPr="0087053C">
      <w:rPr>
        <w:rFonts w:ascii="Bookman Old Style" w:hAnsi="Bookman Old Style"/>
        <w:b/>
        <w:bCs/>
        <w:color w:val="0D0D0D" w:themeColor="text1" w:themeTint="F2"/>
        <w:sz w:val="20"/>
        <w:szCs w:val="20"/>
        <w:lang w:val="en-GB"/>
      </w:rPr>
      <w:t>`</w:t>
    </w:r>
    <w:proofErr w:type="gramStart"/>
    <w:r w:rsidRPr="0087053C">
      <w:rPr>
        <w:rFonts w:ascii="Bookman Old Style" w:hAnsi="Bookman Old Style"/>
        <w:b/>
        <w:bCs/>
        <w:color w:val="0D0D0D" w:themeColor="text1" w:themeTint="F2"/>
        <w:sz w:val="20"/>
        <w:szCs w:val="20"/>
        <w:lang w:val="en-GB"/>
      </w:rPr>
      <w:t>B  /</w:t>
    </w:r>
    <w:proofErr w:type="gramEnd"/>
    <w:r w:rsidRPr="0087053C">
      <w:rPr>
        <w:rFonts w:ascii="Bookman Old Style" w:hAnsi="Bookman Old Style"/>
        <w:b/>
        <w:bCs/>
        <w:color w:val="0D0D0D" w:themeColor="text1" w:themeTint="F2"/>
        <w:sz w:val="20"/>
        <w:szCs w:val="20"/>
        <w:lang w:val="en-GB"/>
      </w:rPr>
      <w:t xml:space="preserve"> Marbella Spain    //   Accountant</w:t>
    </w:r>
  </w:p>
  <w:p w14:paraId="3A956703" w14:textId="3EC5D29F" w:rsidR="0087053C" w:rsidRPr="0087053C" w:rsidRDefault="0087053C" w:rsidP="0087053C">
    <w:pPr>
      <w:pStyle w:val="Ttulo2"/>
      <w:rPr>
        <w:rFonts w:ascii="Bookman Old Style" w:hAnsi="Bookman Old Style"/>
        <w:b/>
        <w:bCs/>
        <w:color w:val="0D0D0D" w:themeColor="text1" w:themeTint="F2"/>
        <w:sz w:val="18"/>
        <w:szCs w:val="18"/>
      </w:rPr>
    </w:pPr>
    <w:r w:rsidRPr="0087053C">
      <w:rPr>
        <w:rFonts w:ascii="Bookman Old Style" w:hAnsi="Bookman Old Style"/>
        <w:b/>
        <w:bCs/>
        <w:color w:val="0D0D0D" w:themeColor="text1" w:themeTint="F2"/>
        <w:sz w:val="18"/>
        <w:szCs w:val="18"/>
        <w:lang w:val="en-GB"/>
      </w:rPr>
      <w:t>mario@mmrconsultant.co.uk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EA18" w14:textId="77777777" w:rsidR="0087053C" w:rsidRDefault="0087053C" w:rsidP="0087053C">
      <w:pPr>
        <w:spacing w:after="0" w:line="240" w:lineRule="auto"/>
      </w:pPr>
      <w:r>
        <w:separator/>
      </w:r>
    </w:p>
  </w:footnote>
  <w:footnote w:type="continuationSeparator" w:id="0">
    <w:p w14:paraId="464A6092" w14:textId="77777777" w:rsidR="0087053C" w:rsidRDefault="0087053C" w:rsidP="0087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F678" w14:textId="1F116156" w:rsidR="0087053C" w:rsidRPr="0087053C" w:rsidRDefault="0087053C" w:rsidP="0087053C">
    <w:pPr>
      <w:pStyle w:val="Encabezado"/>
    </w:pPr>
    <w:r w:rsidRPr="0087053C">
      <w:rPr>
        <w:noProof/>
      </w:rPr>
      <w:drawing>
        <wp:inline distT="0" distB="0" distL="0" distR="0" wp14:anchorId="57796DFA" wp14:editId="12224DE1">
          <wp:extent cx="853228" cy="798262"/>
          <wp:effectExtent l="0" t="0" r="4445" b="1905"/>
          <wp:docPr id="14389856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006" cy="810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12828" w14:textId="77777777" w:rsidR="0087053C" w:rsidRDefault="008705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B2C"/>
    <w:multiLevelType w:val="multilevel"/>
    <w:tmpl w:val="C1BC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2953"/>
    <w:multiLevelType w:val="multilevel"/>
    <w:tmpl w:val="1E2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7DA0"/>
    <w:multiLevelType w:val="hybridMultilevel"/>
    <w:tmpl w:val="2CE6FA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E88"/>
    <w:multiLevelType w:val="multilevel"/>
    <w:tmpl w:val="F8E4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B61F4"/>
    <w:multiLevelType w:val="multilevel"/>
    <w:tmpl w:val="4AB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36421"/>
    <w:multiLevelType w:val="multilevel"/>
    <w:tmpl w:val="1A98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25D2C"/>
    <w:multiLevelType w:val="multilevel"/>
    <w:tmpl w:val="39D2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D1546"/>
    <w:multiLevelType w:val="multilevel"/>
    <w:tmpl w:val="9A1E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512107">
    <w:abstractNumId w:val="5"/>
  </w:num>
  <w:num w:numId="2" w16cid:durableId="869419036">
    <w:abstractNumId w:val="3"/>
  </w:num>
  <w:num w:numId="3" w16cid:durableId="302271649">
    <w:abstractNumId w:val="1"/>
  </w:num>
  <w:num w:numId="4" w16cid:durableId="217591430">
    <w:abstractNumId w:val="0"/>
  </w:num>
  <w:num w:numId="5" w16cid:durableId="1545143099">
    <w:abstractNumId w:val="6"/>
  </w:num>
  <w:num w:numId="6" w16cid:durableId="905067052">
    <w:abstractNumId w:val="4"/>
  </w:num>
  <w:num w:numId="7" w16cid:durableId="876160791">
    <w:abstractNumId w:val="7"/>
  </w:num>
  <w:num w:numId="8" w16cid:durableId="128183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3C"/>
    <w:rsid w:val="00106917"/>
    <w:rsid w:val="00135242"/>
    <w:rsid w:val="00291146"/>
    <w:rsid w:val="004F06AA"/>
    <w:rsid w:val="005C1DE7"/>
    <w:rsid w:val="0087053C"/>
    <w:rsid w:val="00B038DB"/>
    <w:rsid w:val="00C0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25B74"/>
  <w15:chartTrackingRefBased/>
  <w15:docId w15:val="{7B0169C9-26D2-440D-B9B1-DE6B389D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70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5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5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5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5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5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5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5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53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0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53C"/>
  </w:style>
  <w:style w:type="paragraph" w:styleId="Piedepgina">
    <w:name w:val="footer"/>
    <w:basedOn w:val="Normal"/>
    <w:link w:val="PiedepginaCar"/>
    <w:uiPriority w:val="99"/>
    <w:unhideWhenUsed/>
    <w:rsid w:val="00870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2841</Characters>
  <Application>Microsoft Office Word</Application>
  <DocSecurity>0</DocSecurity>
  <Lines>78</Lines>
  <Paragraphs>38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Martínez Ramos</dc:creator>
  <cp:keywords/>
  <dc:description/>
  <cp:lastModifiedBy>Mario Martínez Ramos</cp:lastModifiedBy>
  <cp:revision>2</cp:revision>
  <dcterms:created xsi:type="dcterms:W3CDTF">2025-10-12T10:20:00Z</dcterms:created>
  <dcterms:modified xsi:type="dcterms:W3CDTF">2025-10-12T10:20:00Z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08912515-cd3c-44b1-bcf9-31500c07c005</vt:lpwstr>
  </property>
</Properties>
</file>